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rPr>
      </w:pPr>
    </w:p>
    <w:p>
      <w:pPr>
        <w:rPr>
          <w:rFonts w:asciiTheme="majorEastAsia" w:hAnsiTheme="majorEastAsia" w:eastAsiaTheme="majorEastAsia" w:cstheme="majorEastAsia"/>
          <w:b/>
          <w:sz w:val="36"/>
          <w:szCs w:val="36"/>
        </w:rPr>
      </w:pPr>
    </w:p>
    <w:p>
      <w:pPr>
        <w:jc w:val="center"/>
        <w:rPr>
          <w:rFonts w:ascii="仿宋" w:hAnsi="仿宋" w:eastAsia="仿宋" w:cs="仿宋"/>
          <w:b/>
          <w:sz w:val="32"/>
          <w:szCs w:val="32"/>
        </w:rPr>
      </w:pPr>
      <w:r>
        <w:rPr>
          <w:rFonts w:hint="eastAsia" w:asciiTheme="majorEastAsia" w:hAnsiTheme="majorEastAsia" w:eastAsiaTheme="majorEastAsia" w:cstheme="majorEastAsia"/>
          <w:b/>
          <w:sz w:val="36"/>
          <w:szCs w:val="36"/>
          <w:lang w:val="en-US" w:eastAsia="zh-CN"/>
        </w:rPr>
        <w:t xml:space="preserve">  </w:t>
      </w:r>
      <w:bookmarkStart w:id="0" w:name="_GoBack"/>
      <w:r>
        <w:rPr>
          <w:rFonts w:hint="eastAsia" w:asciiTheme="majorEastAsia" w:hAnsiTheme="majorEastAsia" w:eastAsiaTheme="majorEastAsia" w:cstheme="majorEastAsia"/>
          <w:b/>
          <w:sz w:val="36"/>
          <w:szCs w:val="36"/>
        </w:rPr>
        <w:t>体育总局 发展改革委关于加强社会足球场地对外</w:t>
      </w:r>
      <w:bookmarkEnd w:id="0"/>
      <w:r>
        <w:rPr>
          <w:rFonts w:hint="eastAsia" w:asciiTheme="majorEastAsia" w:hAnsiTheme="majorEastAsia" w:eastAsiaTheme="majorEastAsia" w:cstheme="majorEastAsia"/>
          <w:b/>
          <w:sz w:val="36"/>
          <w:szCs w:val="36"/>
        </w:rPr>
        <w:t>开放和运营管理的指导意见</w:t>
      </w:r>
    </w:p>
    <w:p>
      <w:pPr>
        <w:spacing w:line="500" w:lineRule="exact"/>
        <w:rPr>
          <w:rFonts w:ascii="仿宋" w:hAnsi="仿宋" w:eastAsia="仿宋"/>
          <w:sz w:val="30"/>
          <w:szCs w:val="30"/>
        </w:rPr>
      </w:pPr>
    </w:p>
    <w:p>
      <w:pPr>
        <w:spacing w:line="500" w:lineRule="exact"/>
        <w:rPr>
          <w:rFonts w:ascii="仿宋" w:hAnsi="仿宋" w:eastAsia="仿宋" w:cs="仿宋"/>
          <w:sz w:val="32"/>
          <w:szCs w:val="32"/>
        </w:rPr>
      </w:pPr>
      <w:r>
        <w:rPr>
          <w:rFonts w:ascii="仿宋" w:hAnsi="仿宋" w:eastAsia="仿宋"/>
          <w:sz w:val="30"/>
          <w:szCs w:val="30"/>
        </w:rPr>
        <w:t>各省、自治区、直辖市、计划单列市、新疆生产建设兵团体育局、发展改革委</w:t>
      </w:r>
      <w:r>
        <w:rPr>
          <w:rFonts w:hint="eastAsia" w:ascii="仿宋" w:hAnsi="仿宋" w:eastAsia="仿宋"/>
          <w:sz w:val="30"/>
          <w:szCs w:val="30"/>
        </w:rPr>
        <w:t>：</w:t>
      </w:r>
    </w:p>
    <w:p>
      <w:pPr>
        <w:spacing w:line="50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为贯彻落实党中央、国务院关于足球改革发展的决策部署，推进体育强国建设，</w:t>
      </w:r>
      <w:r>
        <w:rPr>
          <w:rFonts w:hint="eastAsia" w:ascii="仿宋" w:hAnsi="仿宋" w:eastAsia="仿宋" w:cs="仿宋"/>
          <w:color w:val="000000"/>
          <w:sz w:val="32"/>
          <w:szCs w:val="32"/>
        </w:rPr>
        <w:t>实施全民健身计划，促进社会足球场地开放</w:t>
      </w:r>
      <w:r>
        <w:rPr>
          <w:rFonts w:hint="eastAsia" w:ascii="仿宋" w:hAnsi="仿宋" w:eastAsia="仿宋" w:cs="仿宋"/>
          <w:color w:val="000000"/>
          <w:sz w:val="32"/>
          <w:szCs w:val="32"/>
          <w:lang w:eastAsia="zh-CN"/>
        </w:rPr>
        <w:t>利用</w:t>
      </w:r>
      <w:r>
        <w:rPr>
          <w:rFonts w:hint="eastAsia" w:ascii="仿宋" w:hAnsi="仿宋" w:eastAsia="仿宋" w:cs="仿宋"/>
          <w:color w:val="000000"/>
          <w:sz w:val="32"/>
          <w:szCs w:val="32"/>
        </w:rPr>
        <w:t>，增加服务有效供给，</w:t>
      </w:r>
      <w:r>
        <w:rPr>
          <w:rFonts w:hint="eastAsia" w:ascii="仿宋" w:hAnsi="仿宋" w:eastAsia="仿宋" w:cs="仿宋"/>
          <w:sz w:val="32"/>
          <w:szCs w:val="32"/>
        </w:rPr>
        <w:t>规范运营管理，</w:t>
      </w:r>
      <w:r>
        <w:rPr>
          <w:rFonts w:hint="eastAsia" w:ascii="仿宋" w:hAnsi="仿宋" w:eastAsia="仿宋" w:cs="仿宋"/>
          <w:color w:val="000000"/>
          <w:sz w:val="32"/>
          <w:szCs w:val="32"/>
        </w:rPr>
        <w:t>现提出如下意见。</w:t>
      </w:r>
    </w:p>
    <w:p>
      <w:pPr>
        <w:spacing w:line="500" w:lineRule="exact"/>
        <w:ind w:firstLine="642" w:firstLineChars="200"/>
        <w:rPr>
          <w:rFonts w:ascii="仿宋" w:hAnsi="仿宋" w:eastAsia="仿宋" w:cs="仿宋"/>
          <w:b/>
          <w:sz w:val="32"/>
          <w:szCs w:val="32"/>
        </w:rPr>
      </w:pPr>
      <w:r>
        <w:rPr>
          <w:rFonts w:hint="eastAsia" w:ascii="仿宋" w:hAnsi="仿宋" w:eastAsia="仿宋" w:cs="仿宋"/>
          <w:b/>
          <w:sz w:val="32"/>
          <w:szCs w:val="32"/>
        </w:rPr>
        <w:t>一、总体要求</w:t>
      </w:r>
    </w:p>
    <w:p>
      <w:pPr>
        <w:spacing w:line="500" w:lineRule="exact"/>
        <w:ind w:firstLine="642" w:firstLineChars="200"/>
        <w:rPr>
          <w:rFonts w:ascii="仿宋" w:hAnsi="仿宋" w:eastAsia="仿宋" w:cs="仿宋"/>
          <w:sz w:val="32"/>
          <w:szCs w:val="32"/>
        </w:rPr>
      </w:pPr>
      <w:r>
        <w:rPr>
          <w:rFonts w:hint="eastAsia" w:ascii="仿宋" w:hAnsi="仿宋" w:eastAsia="仿宋" w:cs="仿宋"/>
          <w:b/>
          <w:sz w:val="32"/>
          <w:szCs w:val="32"/>
        </w:rPr>
        <w:t>（一）指导思想。</w:t>
      </w:r>
      <w:r>
        <w:rPr>
          <w:rFonts w:hint="eastAsia" w:ascii="仿宋" w:hAnsi="仿宋" w:eastAsia="仿宋" w:cs="仿宋"/>
          <w:sz w:val="32"/>
          <w:szCs w:val="32"/>
        </w:rPr>
        <w:t>以习近平新时代中国特色社会主义思想为指导，坚持以人民为中心，全面贯彻落实党的十九大和十九届二中、三中、四中</w:t>
      </w:r>
      <w:r>
        <w:rPr>
          <w:rFonts w:hint="eastAsia" w:ascii="仿宋" w:hAnsi="仿宋" w:eastAsia="仿宋" w:cs="仿宋"/>
          <w:sz w:val="32"/>
          <w:szCs w:val="32"/>
          <w:lang w:eastAsia="zh-CN"/>
        </w:rPr>
        <w:t>、五中</w:t>
      </w:r>
      <w:r>
        <w:rPr>
          <w:rFonts w:hint="eastAsia" w:ascii="仿宋" w:hAnsi="仿宋" w:eastAsia="仿宋" w:cs="仿宋"/>
          <w:sz w:val="32"/>
          <w:szCs w:val="32"/>
        </w:rPr>
        <w:t>全会精神，贯彻落实《中国足球改革发展总体方案》</w:t>
      </w:r>
      <w:r>
        <w:rPr>
          <w:rFonts w:hint="eastAsia" w:ascii="仿宋" w:hAnsi="仿宋" w:eastAsia="仿宋"/>
          <w:color w:val="000000"/>
          <w:sz w:val="32"/>
          <w:szCs w:val="32"/>
        </w:rPr>
        <w:t>《中国足球中长期发展规划（2016—2050年）》</w:t>
      </w:r>
      <w:r>
        <w:rPr>
          <w:rFonts w:hint="eastAsia" w:ascii="仿宋" w:hAnsi="仿宋" w:eastAsia="仿宋" w:cs="仿宋"/>
          <w:sz w:val="32"/>
          <w:szCs w:val="32"/>
        </w:rPr>
        <w:t>，按照“政府引导、社会参与、高效开放、科学管理”的原则，引导社会力量广泛参与，探索社会足球场地运营管理新模式，全面提升运营管理水平，提高使用率，促进全民健身国家战略实施，加快推进体育强国建设。</w:t>
      </w:r>
    </w:p>
    <w:p>
      <w:pPr>
        <w:spacing w:line="500" w:lineRule="exact"/>
        <w:ind w:firstLine="642" w:firstLineChars="200"/>
        <w:rPr>
          <w:rFonts w:ascii="仿宋" w:hAnsi="仿宋" w:eastAsia="仿宋" w:cs="仿宋"/>
          <w:b/>
          <w:sz w:val="32"/>
          <w:szCs w:val="32"/>
        </w:rPr>
      </w:pPr>
      <w:r>
        <w:rPr>
          <w:rFonts w:hint="eastAsia" w:ascii="仿宋" w:hAnsi="仿宋" w:eastAsia="仿宋" w:cs="仿宋"/>
          <w:b/>
          <w:sz w:val="32"/>
          <w:szCs w:val="32"/>
        </w:rPr>
        <w:t>（二）主要目标。</w:t>
      </w:r>
    </w:p>
    <w:p>
      <w:pPr>
        <w:spacing w:line="500" w:lineRule="exact"/>
        <w:ind w:firstLine="640" w:firstLineChars="200"/>
        <w:rPr>
          <w:rFonts w:ascii="仿宋" w:hAnsi="仿宋" w:eastAsia="仿宋" w:cs="仿宋"/>
          <w:sz w:val="32"/>
          <w:szCs w:val="32"/>
        </w:rPr>
      </w:pPr>
      <w:r>
        <w:rPr>
          <w:rFonts w:hint="eastAsia" w:ascii="仿宋" w:hAnsi="仿宋" w:eastAsia="仿宋" w:cs="仿宋"/>
          <w:sz w:val="32"/>
          <w:szCs w:val="32"/>
        </w:rPr>
        <w:t>到20</w:t>
      </w:r>
      <w:r>
        <w:rPr>
          <w:rFonts w:ascii="仿宋" w:hAnsi="仿宋" w:eastAsia="仿宋" w:cs="仿宋"/>
          <w:sz w:val="32"/>
          <w:szCs w:val="32"/>
        </w:rPr>
        <w:t>25</w:t>
      </w:r>
      <w:r>
        <w:rPr>
          <w:rFonts w:hint="eastAsia" w:ascii="仿宋" w:hAnsi="仿宋" w:eastAsia="仿宋" w:cs="仿宋"/>
          <w:sz w:val="32"/>
          <w:szCs w:val="32"/>
        </w:rPr>
        <w:t>年，社会足球场地全面开放，服务质量明显改善，使用率和群众满意度明显提升，</w:t>
      </w:r>
      <w:r>
        <w:rPr>
          <w:rFonts w:hint="eastAsia" w:ascii="仿宋" w:hAnsi="仿宋" w:eastAsia="仿宋" w:cs="仿宋"/>
          <w:sz w:val="32"/>
          <w:szCs w:val="32"/>
          <w:lang w:eastAsia="zh-CN"/>
        </w:rPr>
        <w:t>制度完备</w:t>
      </w:r>
      <w:r>
        <w:rPr>
          <w:rFonts w:hint="eastAsia" w:ascii="仿宋" w:hAnsi="仿宋" w:eastAsia="仿宋" w:cs="仿宋"/>
          <w:sz w:val="32"/>
          <w:szCs w:val="32"/>
        </w:rPr>
        <w:t>、权责明确、主体多元、利用高效的社会足球场地长效运营管理机制初步形成。</w:t>
      </w:r>
    </w:p>
    <w:p>
      <w:pPr>
        <w:spacing w:line="500" w:lineRule="exact"/>
        <w:ind w:firstLine="642" w:firstLineChars="200"/>
        <w:rPr>
          <w:rFonts w:ascii="仿宋" w:hAnsi="仿宋" w:eastAsia="仿宋" w:cs="仿宋"/>
          <w:b/>
          <w:sz w:val="32"/>
          <w:szCs w:val="32"/>
        </w:rPr>
      </w:pPr>
      <w:r>
        <w:rPr>
          <w:rFonts w:hint="eastAsia" w:ascii="仿宋" w:hAnsi="仿宋" w:eastAsia="仿宋" w:cs="仿宋"/>
          <w:b/>
          <w:sz w:val="32"/>
          <w:szCs w:val="32"/>
        </w:rPr>
        <w:t>二、高效开放</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（三）促进全面开放。</w:t>
      </w:r>
      <w:r>
        <w:rPr>
          <w:rFonts w:hint="eastAsia" w:ascii="仿宋" w:hAnsi="仿宋" w:eastAsia="仿宋" w:cs="仿宋"/>
          <w:sz w:val="32"/>
          <w:szCs w:val="32"/>
        </w:rPr>
        <w:t>社会足球场地应积极向社会开放，政府投资和享受政府补助的社会足球场地应全年免费或低收费向社会开放</w:t>
      </w:r>
      <w:r>
        <w:rPr>
          <w:rFonts w:hint="eastAsia" w:ascii="仿宋" w:hAnsi="仿宋" w:eastAsia="仿宋" w:cs="仿宋"/>
          <w:sz w:val="32"/>
          <w:szCs w:val="32"/>
          <w:lang w:eastAsia="zh-CN"/>
        </w:rPr>
        <w:t>。</w:t>
      </w:r>
      <w:r>
        <w:rPr>
          <w:rFonts w:hint="eastAsia" w:ascii="仿宋" w:hAnsi="仿宋" w:eastAsia="仿宋" w:cs="仿宋"/>
          <w:sz w:val="32"/>
          <w:szCs w:val="32"/>
        </w:rPr>
        <w:t>政府投资的社会足球场地应对学生、基层</w:t>
      </w:r>
      <w:r>
        <w:rPr>
          <w:rFonts w:ascii="仿宋" w:hAnsi="仿宋" w:eastAsia="仿宋" w:cs="仿宋"/>
          <w:sz w:val="32"/>
          <w:szCs w:val="32"/>
        </w:rPr>
        <w:t>足协、社区足球</w:t>
      </w:r>
      <w:r>
        <w:rPr>
          <w:rFonts w:hint="eastAsia" w:ascii="仿宋" w:hAnsi="仿宋" w:eastAsia="仿宋" w:cs="仿宋"/>
          <w:sz w:val="32"/>
          <w:szCs w:val="32"/>
        </w:rPr>
        <w:t>俱乐部、</w:t>
      </w:r>
      <w:r>
        <w:rPr>
          <w:rFonts w:ascii="仿宋" w:hAnsi="仿宋" w:eastAsia="仿宋" w:cs="仿宋"/>
          <w:sz w:val="32"/>
          <w:szCs w:val="32"/>
        </w:rPr>
        <w:t>青少年体育俱乐部</w:t>
      </w:r>
      <w:r>
        <w:rPr>
          <w:rFonts w:hint="eastAsia" w:ascii="仿宋" w:hAnsi="仿宋" w:eastAsia="仿宋" w:cs="仿宋"/>
          <w:sz w:val="32"/>
          <w:szCs w:val="32"/>
        </w:rPr>
        <w:t>等群体或机构优惠开放。通过政府购买服务方式推动社会力量投资建设的社会足球场地免费或低收费开放。机关</w:t>
      </w:r>
      <w:r>
        <w:rPr>
          <w:rFonts w:ascii="仿宋" w:hAnsi="仿宋" w:eastAsia="仿宋" w:cs="仿宋"/>
          <w:sz w:val="32"/>
          <w:szCs w:val="32"/>
        </w:rPr>
        <w:t>、</w:t>
      </w:r>
      <w:r>
        <w:rPr>
          <w:rFonts w:hint="eastAsia" w:ascii="仿宋" w:hAnsi="仿宋" w:eastAsia="仿宋" w:cs="仿宋"/>
          <w:sz w:val="32"/>
          <w:szCs w:val="32"/>
        </w:rPr>
        <w:t>企事业</w:t>
      </w:r>
      <w:r>
        <w:rPr>
          <w:rFonts w:ascii="仿宋" w:hAnsi="仿宋" w:eastAsia="仿宋" w:cs="仿宋"/>
          <w:sz w:val="32"/>
          <w:szCs w:val="32"/>
        </w:rPr>
        <w:t>单位</w:t>
      </w:r>
      <w:r>
        <w:rPr>
          <w:rFonts w:hint="eastAsia" w:ascii="仿宋" w:hAnsi="仿宋" w:eastAsia="仿宋" w:cs="仿宋"/>
          <w:sz w:val="32"/>
          <w:szCs w:val="32"/>
        </w:rPr>
        <w:t>等</w:t>
      </w:r>
      <w:r>
        <w:rPr>
          <w:rFonts w:ascii="仿宋" w:hAnsi="仿宋" w:eastAsia="仿宋" w:cs="仿宋"/>
          <w:sz w:val="32"/>
          <w:szCs w:val="32"/>
        </w:rPr>
        <w:t>内部</w:t>
      </w:r>
      <w:r>
        <w:rPr>
          <w:rFonts w:hint="eastAsia" w:ascii="仿宋" w:hAnsi="仿宋" w:eastAsia="仿宋" w:cs="仿宋"/>
          <w:sz w:val="32"/>
          <w:szCs w:val="32"/>
        </w:rPr>
        <w:t>社会</w:t>
      </w:r>
      <w:r>
        <w:rPr>
          <w:rFonts w:ascii="仿宋" w:hAnsi="仿宋" w:eastAsia="仿宋" w:cs="仿宋"/>
          <w:sz w:val="32"/>
          <w:szCs w:val="32"/>
        </w:rPr>
        <w:t>足球场地</w:t>
      </w:r>
      <w:r>
        <w:rPr>
          <w:rFonts w:hint="eastAsia" w:ascii="仿宋" w:hAnsi="仿宋" w:eastAsia="仿宋" w:cs="仿宋"/>
          <w:sz w:val="32"/>
          <w:szCs w:val="32"/>
        </w:rPr>
        <w:t>应</w:t>
      </w:r>
      <w:r>
        <w:rPr>
          <w:rFonts w:ascii="仿宋" w:hAnsi="仿宋" w:eastAsia="仿宋" w:cs="仿宋"/>
          <w:sz w:val="32"/>
          <w:szCs w:val="32"/>
        </w:rPr>
        <w:t>积极创造条件向社会开放</w:t>
      </w:r>
      <w:r>
        <w:rPr>
          <w:rFonts w:hint="eastAsia" w:ascii="仿宋" w:hAnsi="仿宋" w:eastAsia="仿宋" w:cs="仿宋"/>
          <w:sz w:val="32"/>
          <w:szCs w:val="32"/>
        </w:rPr>
        <w:t>。</w:t>
      </w:r>
    </w:p>
    <w:p>
      <w:pPr>
        <w:spacing w:line="500" w:lineRule="exact"/>
        <w:ind w:firstLine="642" w:firstLineChars="200"/>
        <w:rPr>
          <w:rFonts w:ascii="仿宋" w:hAnsi="仿宋" w:eastAsia="仿宋" w:cs="仿宋"/>
          <w:color w:val="000000"/>
          <w:sz w:val="32"/>
          <w:szCs w:val="32"/>
        </w:rPr>
      </w:pPr>
      <w:r>
        <w:rPr>
          <w:rFonts w:hint="eastAsia" w:ascii="仿宋" w:hAnsi="仿宋" w:eastAsia="仿宋" w:cs="仿宋"/>
          <w:b/>
          <w:sz w:val="32"/>
          <w:szCs w:val="32"/>
        </w:rPr>
        <w:t>（四）确保开放时间。</w:t>
      </w:r>
      <w:r>
        <w:rPr>
          <w:rFonts w:hint="eastAsia" w:ascii="仿宋" w:hAnsi="仿宋" w:eastAsia="仿宋" w:cs="仿宋"/>
          <w:sz w:val="32"/>
          <w:szCs w:val="32"/>
        </w:rPr>
        <w:t>政府投资和享受政府补助的社会足球场地应保证全年向社会开放，每周开放时间一般不少于35小时，</w:t>
      </w:r>
      <w:r>
        <w:rPr>
          <w:rFonts w:hint="eastAsia" w:ascii="仿宋" w:hAnsi="仿宋" w:eastAsia="仿宋" w:cs="仿宋"/>
          <w:color w:val="000000"/>
          <w:sz w:val="32"/>
          <w:szCs w:val="32"/>
        </w:rPr>
        <w:t>全年开放时间一般不少于330天。开放时间应与当地公众的工作、学习时间适当错开。国家法定节假日、全民健身日和学校寒暑假期间，每天开放时间不得少于8小时。</w:t>
      </w:r>
      <w:r>
        <w:rPr>
          <w:rFonts w:ascii="仿宋" w:hAnsi="仿宋" w:eastAsia="仿宋" w:cs="仿宋"/>
          <w:color w:val="000000"/>
          <w:sz w:val="32"/>
          <w:szCs w:val="32"/>
        </w:rPr>
        <w:t>因气候条件、</w:t>
      </w:r>
      <w:r>
        <w:rPr>
          <w:rFonts w:hint="eastAsia" w:ascii="仿宋" w:hAnsi="仿宋" w:eastAsia="仿宋" w:cs="仿宋"/>
          <w:color w:val="000000"/>
          <w:sz w:val="32"/>
          <w:szCs w:val="32"/>
        </w:rPr>
        <w:t>草坪</w:t>
      </w:r>
      <w:r>
        <w:rPr>
          <w:rFonts w:ascii="仿宋" w:hAnsi="仿宋" w:eastAsia="仿宋" w:cs="仿宋"/>
          <w:color w:val="000000"/>
          <w:sz w:val="32"/>
          <w:szCs w:val="32"/>
        </w:rPr>
        <w:t>维护、</w:t>
      </w:r>
      <w:r>
        <w:rPr>
          <w:rFonts w:hint="eastAsia" w:ascii="仿宋" w:hAnsi="仿宋" w:eastAsia="仿宋" w:cs="仿宋"/>
          <w:color w:val="000000"/>
          <w:sz w:val="32"/>
          <w:szCs w:val="32"/>
        </w:rPr>
        <w:t>承担</w:t>
      </w:r>
      <w:r>
        <w:rPr>
          <w:rFonts w:ascii="仿宋" w:hAnsi="仿宋" w:eastAsia="仿宋" w:cs="仿宋"/>
          <w:color w:val="000000"/>
          <w:sz w:val="32"/>
          <w:szCs w:val="32"/>
        </w:rPr>
        <w:t>训练</w:t>
      </w:r>
      <w:r>
        <w:rPr>
          <w:rFonts w:hint="eastAsia" w:ascii="仿宋" w:hAnsi="仿宋" w:eastAsia="仿宋" w:cs="仿宋"/>
          <w:color w:val="000000"/>
          <w:sz w:val="32"/>
          <w:szCs w:val="32"/>
        </w:rPr>
        <w:t>竞赛</w:t>
      </w:r>
      <w:r>
        <w:rPr>
          <w:rFonts w:ascii="仿宋" w:hAnsi="仿宋" w:eastAsia="仿宋" w:cs="仿宋"/>
          <w:color w:val="000000"/>
          <w:sz w:val="32"/>
          <w:szCs w:val="32"/>
        </w:rPr>
        <w:t>等原因，</w:t>
      </w:r>
      <w:r>
        <w:rPr>
          <w:rFonts w:hint="eastAsia" w:ascii="仿宋" w:hAnsi="仿宋" w:eastAsia="仿宋" w:cs="仿宋"/>
          <w:color w:val="000000"/>
          <w:sz w:val="32"/>
          <w:szCs w:val="32"/>
        </w:rPr>
        <w:t>达不到</w:t>
      </w:r>
      <w:r>
        <w:rPr>
          <w:rFonts w:ascii="仿宋" w:hAnsi="仿宋" w:eastAsia="仿宋" w:cs="仿宋"/>
          <w:color w:val="000000"/>
          <w:sz w:val="32"/>
          <w:szCs w:val="32"/>
        </w:rPr>
        <w:t>对外开放</w:t>
      </w:r>
      <w:r>
        <w:rPr>
          <w:rFonts w:hint="eastAsia" w:ascii="仿宋" w:hAnsi="仿宋" w:eastAsia="仿宋" w:cs="仿宋"/>
          <w:color w:val="000000"/>
          <w:sz w:val="32"/>
          <w:szCs w:val="32"/>
        </w:rPr>
        <w:t>时间要求</w:t>
      </w:r>
      <w:r>
        <w:rPr>
          <w:rFonts w:ascii="仿宋" w:hAnsi="仿宋" w:eastAsia="仿宋" w:cs="仿宋"/>
          <w:color w:val="000000"/>
          <w:sz w:val="32"/>
          <w:szCs w:val="32"/>
        </w:rPr>
        <w:t>的，可由</w:t>
      </w:r>
      <w:r>
        <w:rPr>
          <w:rFonts w:hint="eastAsia" w:ascii="仿宋" w:hAnsi="仿宋" w:eastAsia="仿宋" w:cs="仿宋"/>
          <w:color w:val="000000"/>
          <w:sz w:val="32"/>
          <w:szCs w:val="32"/>
        </w:rPr>
        <w:t>地方</w:t>
      </w:r>
      <w:r>
        <w:rPr>
          <w:rFonts w:ascii="仿宋" w:hAnsi="仿宋" w:eastAsia="仿宋" w:cs="仿宋"/>
          <w:color w:val="000000"/>
          <w:sz w:val="32"/>
          <w:szCs w:val="32"/>
        </w:rPr>
        <w:t>体育部门视具体情况自行制定开放时间要求，向公众公示。</w:t>
      </w:r>
      <w:r>
        <w:rPr>
          <w:rFonts w:hint="eastAsia" w:ascii="仿宋" w:hAnsi="仿宋" w:eastAsia="仿宋" w:cs="仿宋"/>
          <w:color w:val="000000"/>
          <w:sz w:val="32"/>
          <w:szCs w:val="32"/>
        </w:rPr>
        <w:t>运营</w:t>
      </w:r>
      <w:r>
        <w:rPr>
          <w:rFonts w:hint="eastAsia" w:ascii="仿宋" w:hAnsi="仿宋" w:eastAsia="仿宋" w:cs="仿宋"/>
          <w:sz w:val="32"/>
          <w:szCs w:val="32"/>
        </w:rPr>
        <w:t>管理机构应当向公众公告其服务内容、开放时间、收费标准、安全事项、</w:t>
      </w:r>
      <w:r>
        <w:rPr>
          <w:rFonts w:ascii="仿宋" w:hAnsi="仿宋" w:eastAsia="仿宋" w:cs="仿宋"/>
          <w:sz w:val="32"/>
          <w:szCs w:val="32"/>
        </w:rPr>
        <w:t>联系电话、联系人</w:t>
      </w:r>
      <w:r>
        <w:rPr>
          <w:rFonts w:hint="eastAsia" w:ascii="仿宋" w:hAnsi="仿宋" w:eastAsia="仿宋" w:cs="仿宋"/>
          <w:sz w:val="32"/>
          <w:szCs w:val="32"/>
        </w:rPr>
        <w:t>等信息，并报所属体育部门备案。需要暂时停止开放的，应当提前7日向公众公告；需要临时调整开放时间的，应当提前向公众公告。</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（五）保障使用功能。</w:t>
      </w:r>
      <w:r>
        <w:rPr>
          <w:rFonts w:hint="eastAsia" w:ascii="仿宋" w:hAnsi="仿宋" w:eastAsia="仿宋" w:cs="仿宋"/>
          <w:sz w:val="32"/>
          <w:szCs w:val="32"/>
        </w:rPr>
        <w:t>社会足球场地应优先保证用于开展足球活动，</w:t>
      </w:r>
      <w:r>
        <w:rPr>
          <w:rFonts w:ascii="仿宋" w:hAnsi="仿宋" w:eastAsia="仿宋" w:cs="仿宋"/>
          <w:sz w:val="32"/>
          <w:szCs w:val="32"/>
        </w:rPr>
        <w:t>优先保障基层</w:t>
      </w:r>
      <w:r>
        <w:rPr>
          <w:rFonts w:hint="eastAsia" w:ascii="仿宋" w:hAnsi="仿宋" w:eastAsia="仿宋" w:cs="仿宋"/>
          <w:sz w:val="32"/>
          <w:szCs w:val="32"/>
        </w:rPr>
        <w:t>足球</w:t>
      </w:r>
      <w:r>
        <w:rPr>
          <w:rFonts w:ascii="仿宋" w:hAnsi="仿宋" w:eastAsia="仿宋" w:cs="仿宋"/>
          <w:sz w:val="32"/>
          <w:szCs w:val="32"/>
        </w:rPr>
        <w:t>协会、社区足球俱乐部</w:t>
      </w:r>
      <w:r>
        <w:rPr>
          <w:rFonts w:hint="eastAsia" w:ascii="仿宋" w:hAnsi="仿宋" w:eastAsia="仿宋" w:cs="仿宋"/>
          <w:sz w:val="32"/>
          <w:szCs w:val="32"/>
        </w:rPr>
        <w:t>等</w:t>
      </w:r>
      <w:r>
        <w:rPr>
          <w:rFonts w:ascii="仿宋" w:hAnsi="仿宋" w:eastAsia="仿宋" w:cs="仿宋"/>
          <w:sz w:val="32"/>
          <w:szCs w:val="32"/>
        </w:rPr>
        <w:t>的使用</w:t>
      </w:r>
      <w:r>
        <w:rPr>
          <w:rFonts w:hint="eastAsia" w:ascii="仿宋" w:hAnsi="仿宋" w:eastAsia="仿宋" w:cs="仿宋"/>
          <w:sz w:val="32"/>
          <w:szCs w:val="32"/>
        </w:rPr>
        <w:t>。严禁任何单位或个人擅自改变政府投资和享受政府补助的社会足球场地的功能、用地性质。临时性社会足球场地在使用期限内不得被侵占或挪作他用。因城市基础设施建设或其他特殊原因需临时占用社会足球场地用地或改变足球场地功能的，应按照有关规定向相关职能部门办理手续，优先在周边另行选址重建。</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（六）丰富赛事活动</w:t>
      </w:r>
      <w:r>
        <w:rPr>
          <w:rFonts w:hint="eastAsia" w:ascii="仿宋" w:hAnsi="仿宋" w:eastAsia="仿宋" w:cs="仿宋"/>
          <w:sz w:val="32"/>
          <w:szCs w:val="32"/>
        </w:rPr>
        <w:t>。鼓励各地因场办赛，引导多方力量参与办赛</w:t>
      </w:r>
      <w:r>
        <w:rPr>
          <w:rFonts w:ascii="仿宋" w:hAnsi="仿宋" w:eastAsia="仿宋" w:cs="仿宋"/>
          <w:sz w:val="32"/>
          <w:szCs w:val="32"/>
        </w:rPr>
        <w:t>，</w:t>
      </w:r>
      <w:r>
        <w:rPr>
          <w:rFonts w:hint="eastAsia" w:ascii="仿宋" w:hAnsi="仿宋" w:eastAsia="仿宋" w:cs="仿宋"/>
          <w:sz w:val="32"/>
          <w:szCs w:val="32"/>
        </w:rPr>
        <w:t>多种形式组建机关企事业单位足球队和社区足球俱乐部，依托</w:t>
      </w:r>
      <w:r>
        <w:rPr>
          <w:rFonts w:ascii="仿宋" w:hAnsi="仿宋" w:eastAsia="仿宋" w:cs="仿宋"/>
          <w:sz w:val="32"/>
          <w:szCs w:val="32"/>
        </w:rPr>
        <w:t>已建社会</w:t>
      </w:r>
      <w:r>
        <w:rPr>
          <w:rFonts w:hint="eastAsia" w:ascii="仿宋" w:hAnsi="仿宋" w:eastAsia="仿宋" w:cs="仿宋"/>
          <w:sz w:val="32"/>
          <w:szCs w:val="32"/>
        </w:rPr>
        <w:t>足球</w:t>
      </w:r>
      <w:r>
        <w:rPr>
          <w:rFonts w:ascii="仿宋" w:hAnsi="仿宋" w:eastAsia="仿宋" w:cs="仿宋"/>
          <w:sz w:val="32"/>
          <w:szCs w:val="32"/>
        </w:rPr>
        <w:t>场地，</w:t>
      </w:r>
      <w:r>
        <w:rPr>
          <w:rFonts w:hint="eastAsia" w:ascii="仿宋" w:hAnsi="仿宋" w:eastAsia="仿宋" w:cs="仿宋"/>
          <w:sz w:val="32"/>
          <w:szCs w:val="32"/>
        </w:rPr>
        <w:t>广泛开展足球赛事活动，扩大群众参与，积极培养群众足球意识，增加经常参加足球锻炼人口，扩大足球相关消费。赛事活动组织方要严格落实疫情防控等安全管理要求，制定相关预案。</w:t>
      </w:r>
    </w:p>
    <w:p>
      <w:pPr>
        <w:autoSpaceDE w:val="0"/>
        <w:autoSpaceDN w:val="0"/>
        <w:adjustRightInd w:val="0"/>
        <w:spacing w:line="500" w:lineRule="exact"/>
        <w:ind w:firstLine="642" w:firstLineChars="200"/>
        <w:jc w:val="left"/>
        <w:rPr>
          <w:rFonts w:ascii="仿宋" w:hAnsi="仿宋" w:eastAsia="仿宋" w:cs="仿宋"/>
          <w:b/>
          <w:sz w:val="32"/>
          <w:szCs w:val="32"/>
        </w:rPr>
      </w:pPr>
      <w:r>
        <w:rPr>
          <w:rFonts w:hint="eastAsia" w:ascii="仿宋" w:hAnsi="仿宋" w:eastAsia="仿宋" w:cs="仿宋"/>
          <w:b/>
          <w:sz w:val="32"/>
          <w:szCs w:val="32"/>
        </w:rPr>
        <w:t xml:space="preserve">三、科学管理 </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（七）建立管理制度。</w:t>
      </w:r>
      <w:r>
        <w:rPr>
          <w:rFonts w:hint="eastAsia" w:ascii="仿宋" w:hAnsi="仿宋" w:eastAsia="仿宋" w:cs="仿宋"/>
          <w:sz w:val="32"/>
          <w:szCs w:val="32"/>
        </w:rPr>
        <w:t>运营管理机构应建立健全社会足球场地服务内容体系和服务规范。通过签订协议、免责声明等方式，明确运营管理机构与使用者之间的权利义务。建立突发事件预防、疫情防控等应急预案和处置制度，并定期演练。</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（八）强化日常管理。</w:t>
      </w:r>
      <w:r>
        <w:rPr>
          <w:rFonts w:hint="eastAsia" w:ascii="仿宋" w:hAnsi="仿宋" w:eastAsia="仿宋" w:cs="仿宋"/>
          <w:sz w:val="32"/>
          <w:szCs w:val="32"/>
        </w:rPr>
        <w:t>运营管理机构应当确保场地设施、设备安全完好，符合国家、</w:t>
      </w:r>
      <w:r>
        <w:rPr>
          <w:rFonts w:ascii="仿宋" w:hAnsi="仿宋" w:eastAsia="仿宋" w:cs="仿宋"/>
          <w:sz w:val="32"/>
          <w:szCs w:val="32"/>
        </w:rPr>
        <w:t>地方和行业</w:t>
      </w:r>
      <w:r>
        <w:rPr>
          <w:rFonts w:hint="eastAsia" w:ascii="仿宋" w:hAnsi="仿宋" w:eastAsia="仿宋" w:cs="仿宋"/>
          <w:sz w:val="32"/>
          <w:szCs w:val="32"/>
        </w:rPr>
        <w:t>安全标准，并定期对场地设施、设备、草坪等进行维保，发现问题及时维修，配备管理人员，明确岗位职责、服务内容和服务标准。加强</w:t>
      </w:r>
      <w:r>
        <w:rPr>
          <w:rFonts w:ascii="仿宋" w:hAnsi="仿宋" w:eastAsia="仿宋" w:cs="仿宋"/>
          <w:sz w:val="32"/>
          <w:szCs w:val="32"/>
        </w:rPr>
        <w:t>管理人员培训</w:t>
      </w:r>
      <w:r>
        <w:rPr>
          <w:rFonts w:hint="eastAsia" w:ascii="仿宋" w:hAnsi="仿宋" w:eastAsia="仿宋" w:cs="仿宋"/>
          <w:sz w:val="32"/>
          <w:szCs w:val="32"/>
        </w:rPr>
        <w:t>，落实疫情防控常态化要求</w:t>
      </w:r>
      <w:r>
        <w:rPr>
          <w:rFonts w:ascii="仿宋" w:hAnsi="仿宋" w:eastAsia="仿宋" w:cs="仿宋"/>
          <w:sz w:val="32"/>
          <w:szCs w:val="32"/>
        </w:rPr>
        <w:t>。</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（九）推广智慧管理。</w:t>
      </w:r>
      <w:r>
        <w:rPr>
          <w:rFonts w:hint="eastAsia" w:ascii="仿宋" w:hAnsi="仿宋" w:eastAsia="仿宋" w:cs="仿宋"/>
          <w:sz w:val="32"/>
          <w:szCs w:val="32"/>
        </w:rPr>
        <w:t>鼓励各地在保证</w:t>
      </w:r>
      <w:r>
        <w:rPr>
          <w:rFonts w:ascii="仿宋" w:hAnsi="仿宋" w:eastAsia="仿宋" w:cs="仿宋"/>
          <w:sz w:val="32"/>
          <w:szCs w:val="32"/>
        </w:rPr>
        <w:t>数据安全性的基础上</w:t>
      </w:r>
      <w:r>
        <w:rPr>
          <w:rFonts w:hint="eastAsia" w:ascii="仿宋" w:hAnsi="仿宋" w:eastAsia="仿宋" w:cs="仿宋"/>
          <w:sz w:val="32"/>
          <w:szCs w:val="32"/>
        </w:rPr>
        <w:t>建设统一</w:t>
      </w:r>
      <w:r>
        <w:rPr>
          <w:rFonts w:ascii="仿宋" w:hAnsi="仿宋" w:eastAsia="仿宋" w:cs="仿宋"/>
          <w:sz w:val="32"/>
          <w:szCs w:val="32"/>
        </w:rPr>
        <w:t>的</w:t>
      </w:r>
      <w:r>
        <w:rPr>
          <w:rFonts w:hint="eastAsia" w:ascii="仿宋" w:hAnsi="仿宋" w:eastAsia="仿宋" w:cs="仿宋"/>
          <w:sz w:val="32"/>
          <w:szCs w:val="32"/>
        </w:rPr>
        <w:t>社会足球场地等体育场馆综合信息服务平台，提供线上查询、场地预订、同城约战、赛事报名等服务，鼓励</w:t>
      </w:r>
      <w:r>
        <w:rPr>
          <w:rFonts w:ascii="仿宋" w:hAnsi="仿宋" w:eastAsia="仿宋" w:cs="仿宋"/>
          <w:sz w:val="32"/>
          <w:szCs w:val="32"/>
        </w:rPr>
        <w:t>企业参与</w:t>
      </w:r>
      <w:r>
        <w:rPr>
          <w:rFonts w:hint="eastAsia" w:ascii="仿宋" w:hAnsi="仿宋" w:eastAsia="仿宋" w:cs="仿宋"/>
          <w:sz w:val="32"/>
          <w:szCs w:val="32"/>
        </w:rPr>
        <w:t>建设。鼓励运营管理机构采用智慧管理系统，实现客流统计、安全</w:t>
      </w:r>
      <w:r>
        <w:rPr>
          <w:rFonts w:ascii="仿宋" w:hAnsi="仿宋" w:eastAsia="仿宋" w:cs="仿宋"/>
          <w:sz w:val="32"/>
          <w:szCs w:val="32"/>
        </w:rPr>
        <w:t>管理、</w:t>
      </w:r>
      <w:r>
        <w:rPr>
          <w:rFonts w:hint="eastAsia" w:ascii="仿宋" w:hAnsi="仿宋" w:eastAsia="仿宋" w:cs="仿宋"/>
          <w:sz w:val="32"/>
          <w:szCs w:val="32"/>
        </w:rPr>
        <w:t>培训管理、赛事服务和开放管理</w:t>
      </w:r>
      <w:r>
        <w:rPr>
          <w:rFonts w:ascii="仿宋" w:hAnsi="仿宋" w:eastAsia="仿宋" w:cs="仿宋"/>
          <w:sz w:val="32"/>
          <w:szCs w:val="32"/>
        </w:rPr>
        <w:t>等功能</w:t>
      </w:r>
      <w:r>
        <w:rPr>
          <w:rFonts w:hint="eastAsia" w:ascii="仿宋" w:hAnsi="仿宋" w:eastAsia="仿宋" w:cs="仿宋"/>
          <w:sz w:val="32"/>
          <w:szCs w:val="32"/>
        </w:rPr>
        <w:t>。做好人员信息登记和人流监测，具备条件的社会足球场地应实现进出人员可追溯，发现人员过度聚集时应及时疏导。</w:t>
      </w:r>
    </w:p>
    <w:p>
      <w:pPr>
        <w:autoSpaceDE w:val="0"/>
        <w:autoSpaceDN w:val="0"/>
        <w:adjustRightInd w:val="0"/>
        <w:spacing w:line="500" w:lineRule="exact"/>
        <w:ind w:firstLine="642" w:firstLineChars="200"/>
        <w:jc w:val="left"/>
        <w:rPr>
          <w:rFonts w:ascii="仿宋" w:hAnsi="仿宋" w:eastAsia="仿宋" w:cs="仿宋"/>
          <w:b/>
          <w:sz w:val="32"/>
          <w:szCs w:val="32"/>
        </w:rPr>
      </w:pPr>
      <w:r>
        <w:rPr>
          <w:rFonts w:hint="eastAsia" w:ascii="仿宋" w:hAnsi="仿宋" w:eastAsia="仿宋" w:cs="仿宋"/>
          <w:b/>
          <w:sz w:val="32"/>
          <w:szCs w:val="32"/>
        </w:rPr>
        <w:t>四、完善机制</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（十）实施分类管理。</w:t>
      </w:r>
      <w:r>
        <w:rPr>
          <w:rFonts w:hint="eastAsia" w:ascii="仿宋" w:hAnsi="仿宋" w:eastAsia="仿宋" w:cs="仿宋"/>
          <w:sz w:val="32"/>
          <w:szCs w:val="32"/>
        </w:rPr>
        <w:t>政府或社会力量投资建设的社会足球场地，不具备社会化运营条件的，应按照权属关系和属地管理原则，由投资主体、用地权属单位、基层体育部门、街道（乡镇）或社区（村）等协商确定管理机构并落实具体管理责任人。鼓励各地通过购买服务或设立公益性管理岗位等负责社会足球场地日常巡查、保养、保洁等工作。具备社会化运营条件的，应采取竞争择优机制选择社会力量运营管理，</w:t>
      </w:r>
      <w:r>
        <w:rPr>
          <w:rFonts w:ascii="仿宋" w:hAnsi="仿宋" w:eastAsia="仿宋" w:cs="仿宋"/>
          <w:sz w:val="32"/>
          <w:szCs w:val="32"/>
        </w:rPr>
        <w:t>推广运营管理示范合同，规范各方权利义务关系</w:t>
      </w:r>
      <w:r>
        <w:rPr>
          <w:rFonts w:hint="eastAsia" w:ascii="仿宋" w:hAnsi="仿宋" w:eastAsia="仿宋" w:cs="仿宋"/>
          <w:sz w:val="32"/>
          <w:szCs w:val="32"/>
        </w:rPr>
        <w:t>。有条件的县市可以将政府投资建设的社会足球场地实施统一运营，支持运营管理机构进行管理输出，实施连锁运营。鼓励社会力量承接政府投资社会足球场地的运营管理，政府采取以奖代补、购买服务或运营补贴等方式予以支持。支持职业足球俱乐部参与主场、训练基地的运营管理。</w:t>
      </w:r>
      <w:r>
        <w:rPr>
          <w:rFonts w:hint="eastAsia" w:ascii="仿宋" w:hAnsi="仿宋" w:eastAsia="仿宋" w:cs="仿宋"/>
          <w:color w:val="000000"/>
          <w:sz w:val="32"/>
          <w:szCs w:val="32"/>
        </w:rPr>
        <w:t>政府投资的社会</w:t>
      </w:r>
      <w:r>
        <w:rPr>
          <w:rFonts w:hint="eastAsia" w:ascii="仿宋" w:hAnsi="仿宋" w:eastAsia="仿宋" w:cs="仿宋"/>
          <w:sz w:val="32"/>
          <w:szCs w:val="32"/>
        </w:rPr>
        <w:t>足球场地交由社会力量运营管理的，应签订公益性条款，对项目产权性质、公益使用、定价机制等予以明确约定，确保社会足球场地公益性。</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（十一）建立奖惩机制。</w:t>
      </w:r>
      <w:r>
        <w:rPr>
          <w:rFonts w:hint="eastAsia" w:ascii="仿宋" w:hAnsi="仿宋" w:eastAsia="仿宋" w:cs="仿宋"/>
          <w:sz w:val="32"/>
          <w:szCs w:val="32"/>
        </w:rPr>
        <w:t>体育部门应建立社会足球场地运营管理评价体系，定期开展绩效评价，将评价结果与预算资金、财政补贴、政府购买服务等挂钩。评价结果优秀的运营管理机构享有同等条件下优先续约和承接政府购买公共服务项目的资格。对违反社会足球场地开放、使用规定的运营管理机构给予通报批评，责令限期改正，情节严重的依据《中华人民共和国治安管理处罚法》《体育</w:t>
      </w:r>
      <w:r>
        <w:rPr>
          <w:rFonts w:ascii="仿宋" w:hAnsi="仿宋" w:eastAsia="仿宋" w:cs="仿宋"/>
          <w:sz w:val="32"/>
          <w:szCs w:val="32"/>
        </w:rPr>
        <w:t>市场</w:t>
      </w:r>
      <w:r>
        <w:rPr>
          <w:rFonts w:hint="eastAsia" w:ascii="仿宋" w:hAnsi="仿宋" w:eastAsia="仿宋" w:cs="仿宋"/>
          <w:sz w:val="32"/>
          <w:szCs w:val="32"/>
        </w:rPr>
        <w:t>黑名单</w:t>
      </w:r>
      <w:r>
        <w:rPr>
          <w:rFonts w:ascii="仿宋" w:hAnsi="仿宋" w:eastAsia="仿宋" w:cs="仿宋"/>
          <w:sz w:val="32"/>
          <w:szCs w:val="32"/>
        </w:rPr>
        <w:t>管理办法</w:t>
      </w:r>
      <w:r>
        <w:rPr>
          <w:rFonts w:hint="eastAsia" w:ascii="仿宋" w:hAnsi="仿宋" w:eastAsia="仿宋" w:cs="仿宋"/>
          <w:sz w:val="32"/>
          <w:szCs w:val="32"/>
        </w:rPr>
        <w:t>》等法律法规予以处罚，属于委托管理的，应依法解除管理合同。</w:t>
      </w:r>
    </w:p>
    <w:p>
      <w:pPr>
        <w:autoSpaceDE w:val="0"/>
        <w:autoSpaceDN w:val="0"/>
        <w:adjustRightInd w:val="0"/>
        <w:spacing w:line="500" w:lineRule="exact"/>
        <w:ind w:firstLine="642" w:firstLineChars="200"/>
        <w:jc w:val="left"/>
        <w:rPr>
          <w:rFonts w:hint="default" w:ascii="仿宋" w:hAnsi="仿宋" w:eastAsia="仿宋" w:cs="仿宋"/>
          <w:b/>
          <w:sz w:val="32"/>
          <w:szCs w:val="32"/>
          <w:lang w:val="en"/>
        </w:rPr>
      </w:pPr>
      <w:r>
        <w:rPr>
          <w:rFonts w:hint="eastAsia" w:ascii="仿宋" w:hAnsi="仿宋" w:eastAsia="仿宋" w:cs="仿宋"/>
          <w:b/>
          <w:sz w:val="32"/>
          <w:szCs w:val="32"/>
        </w:rPr>
        <w:t>五、提高运营效益</w:t>
      </w:r>
      <w:r>
        <w:rPr>
          <w:rFonts w:hint="default" w:ascii="仿宋" w:hAnsi="仿宋" w:eastAsia="仿宋" w:cs="仿宋"/>
          <w:b/>
          <w:sz w:val="32"/>
          <w:szCs w:val="32"/>
          <w:lang w:val="en"/>
        </w:rPr>
        <w:t xml:space="preserve"> </w:t>
      </w:r>
    </w:p>
    <w:p>
      <w:pPr>
        <w:autoSpaceDE w:val="0"/>
        <w:autoSpaceDN w:val="0"/>
        <w:adjustRightInd w:val="0"/>
        <w:snapToGrid w:val="0"/>
        <w:spacing w:line="500" w:lineRule="atLeast"/>
        <w:ind w:firstLine="642" w:firstLineChars="200"/>
        <w:jc w:val="left"/>
        <w:rPr>
          <w:rFonts w:ascii="仿宋" w:hAnsi="仿宋" w:eastAsia="仿宋" w:cs="仿宋"/>
          <w:sz w:val="32"/>
          <w:szCs w:val="32"/>
        </w:rPr>
      </w:pPr>
      <w:r>
        <w:rPr>
          <w:rFonts w:hint="eastAsia" w:ascii="仿宋" w:hAnsi="仿宋" w:eastAsia="仿宋" w:cs="仿宋"/>
          <w:b/>
          <w:sz w:val="32"/>
          <w:szCs w:val="32"/>
        </w:rPr>
        <w:t>（十二）拓展业务范围。</w:t>
      </w:r>
      <w:r>
        <w:rPr>
          <w:rFonts w:hint="eastAsia" w:ascii="仿宋" w:hAnsi="仿宋" w:eastAsia="仿宋" w:cs="仿宋"/>
          <w:sz w:val="32"/>
          <w:szCs w:val="32"/>
        </w:rPr>
        <w:t>鼓励运营管理机构根据市场需求，积极拓展业务范围，提供场地租赁、青少年体育培训、赛事策划组织、企业团建、体育装备和体育彩票销售等服务，满足消费者多元化消费需求，与足球队签约，孵化、培育更多足球队。开发足球场地冠名权、广告发布权等无形资产，拓宽收入渠道，逐步提升自我可持续发展能力。支持运营管理机构延伸足球产业链，实施“足球+”战略，推动足球与研学、休闲、旅游、商业等产业融合发展。</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（十三）鼓励多元利用。</w:t>
      </w:r>
      <w:r>
        <w:rPr>
          <w:rFonts w:hint="eastAsia" w:ascii="仿宋" w:hAnsi="仿宋" w:eastAsia="仿宋" w:cs="仿宋"/>
          <w:sz w:val="32"/>
          <w:szCs w:val="32"/>
        </w:rPr>
        <w:t>政府投资和享受政府补助的社会足球场地在工作日、节假日的非高峰时段应免费或低收费开放，用于开展体育、文化等活动，提高社会足球场地利用率。支持运营管理机构与学校、青少年</w:t>
      </w:r>
      <w:r>
        <w:rPr>
          <w:rFonts w:ascii="仿宋" w:hAnsi="仿宋" w:eastAsia="仿宋" w:cs="仿宋"/>
          <w:sz w:val="32"/>
          <w:szCs w:val="32"/>
        </w:rPr>
        <w:t>体育俱乐部</w:t>
      </w:r>
      <w:r>
        <w:rPr>
          <w:rFonts w:hint="eastAsia" w:ascii="仿宋" w:hAnsi="仿宋" w:eastAsia="仿宋" w:cs="仿宋"/>
          <w:sz w:val="32"/>
          <w:szCs w:val="32"/>
        </w:rPr>
        <w:t>合作，开展校园、</w:t>
      </w:r>
      <w:r>
        <w:rPr>
          <w:rFonts w:ascii="仿宋" w:hAnsi="仿宋" w:eastAsia="仿宋" w:cs="仿宋"/>
          <w:sz w:val="32"/>
          <w:szCs w:val="32"/>
        </w:rPr>
        <w:t>青少年</w:t>
      </w:r>
      <w:r>
        <w:rPr>
          <w:rFonts w:hint="eastAsia" w:ascii="仿宋" w:hAnsi="仿宋" w:eastAsia="仿宋" w:cs="仿宋"/>
          <w:sz w:val="32"/>
          <w:szCs w:val="32"/>
        </w:rPr>
        <w:t>足球培训，为学校、</w:t>
      </w:r>
      <w:r>
        <w:rPr>
          <w:rFonts w:ascii="仿宋" w:hAnsi="仿宋" w:eastAsia="仿宋" w:cs="仿宋"/>
          <w:sz w:val="32"/>
          <w:szCs w:val="32"/>
        </w:rPr>
        <w:t>青少年</w:t>
      </w:r>
      <w:r>
        <w:rPr>
          <w:rFonts w:hint="eastAsia" w:ascii="仿宋" w:hAnsi="仿宋" w:eastAsia="仿宋" w:cs="仿宋"/>
          <w:sz w:val="32"/>
          <w:szCs w:val="32"/>
        </w:rPr>
        <w:t>提供场地、教学、培训等服务，推进体教融合。</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（十四）完善配套服务。</w:t>
      </w:r>
      <w:r>
        <w:rPr>
          <w:rFonts w:hint="eastAsia" w:ascii="仿宋" w:hAnsi="仿宋" w:eastAsia="仿宋" w:cs="仿宋"/>
          <w:sz w:val="32"/>
          <w:szCs w:val="32"/>
        </w:rPr>
        <w:t>鼓励运营管理机构通过自营、合作等多种方式，提供餐饮、商品零售、休闲服务等，完善社会足球场地周边配套服务。支持运营管理机构依法依规增设更衣室</w:t>
      </w:r>
      <w:r>
        <w:rPr>
          <w:rFonts w:ascii="仿宋" w:hAnsi="仿宋" w:eastAsia="仿宋" w:cs="仿宋"/>
          <w:sz w:val="32"/>
          <w:szCs w:val="32"/>
        </w:rPr>
        <w:t>、卫生间</w:t>
      </w:r>
      <w:r>
        <w:rPr>
          <w:rFonts w:hint="eastAsia" w:ascii="仿宋" w:hAnsi="仿宋" w:eastAsia="仿宋" w:cs="仿宋"/>
          <w:sz w:val="32"/>
          <w:szCs w:val="32"/>
        </w:rPr>
        <w:t>、器材</w:t>
      </w:r>
      <w:r>
        <w:rPr>
          <w:rFonts w:ascii="仿宋" w:hAnsi="仿宋" w:eastAsia="仿宋" w:cs="仿宋"/>
          <w:sz w:val="32"/>
          <w:szCs w:val="32"/>
        </w:rPr>
        <w:t>室等</w:t>
      </w:r>
      <w:r>
        <w:rPr>
          <w:rFonts w:hint="eastAsia" w:ascii="仿宋" w:hAnsi="仿宋" w:eastAsia="仿宋" w:cs="仿宋"/>
          <w:sz w:val="32"/>
          <w:szCs w:val="32"/>
        </w:rPr>
        <w:t>配套服务设施，完善配套服务功能。</w:t>
      </w:r>
    </w:p>
    <w:p>
      <w:pPr>
        <w:autoSpaceDE w:val="0"/>
        <w:autoSpaceDN w:val="0"/>
        <w:adjustRightInd w:val="0"/>
        <w:spacing w:line="500" w:lineRule="exact"/>
        <w:ind w:firstLine="642" w:firstLineChars="200"/>
        <w:jc w:val="left"/>
        <w:rPr>
          <w:rFonts w:ascii="仿宋" w:hAnsi="仿宋" w:eastAsia="仿宋" w:cs="仿宋"/>
          <w:b/>
          <w:sz w:val="32"/>
          <w:szCs w:val="32"/>
        </w:rPr>
      </w:pPr>
      <w:r>
        <w:rPr>
          <w:rFonts w:hint="eastAsia" w:ascii="仿宋" w:hAnsi="仿宋" w:eastAsia="仿宋" w:cs="仿宋"/>
          <w:b/>
          <w:sz w:val="32"/>
          <w:szCs w:val="32"/>
        </w:rPr>
        <w:t>六、压实责任</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sz w:val="32"/>
          <w:szCs w:val="32"/>
        </w:rPr>
        <w:t>（十五）强化主体责任。</w:t>
      </w:r>
      <w:r>
        <w:rPr>
          <w:rFonts w:hint="eastAsia" w:ascii="仿宋" w:hAnsi="仿宋" w:eastAsia="仿宋" w:cs="仿宋"/>
          <w:sz w:val="32"/>
          <w:szCs w:val="32"/>
        </w:rPr>
        <w:t>社会足球场地实施属地管理，纳入</w:t>
      </w:r>
      <w:r>
        <w:rPr>
          <w:rFonts w:ascii="仿宋" w:hAnsi="仿宋" w:eastAsia="仿宋" w:cs="仿宋"/>
          <w:sz w:val="32"/>
          <w:szCs w:val="32"/>
        </w:rPr>
        <w:t>全民健身场地设施管理，</w:t>
      </w:r>
      <w:r>
        <w:rPr>
          <w:rFonts w:hint="eastAsia" w:ascii="仿宋" w:hAnsi="仿宋" w:eastAsia="仿宋" w:cs="仿宋"/>
          <w:sz w:val="32"/>
          <w:szCs w:val="32"/>
        </w:rPr>
        <w:t>各地应切实履行主体责任，建管并重，加强对社会足球场地运营管理的指导和监督管理。各地体育部门应履行监管责任，制定社会足球场地对外开放管理办法、服务标准和服务规范、日常维护标准，明确服务质量要求及应急保障机制等，加强培训，不断提高社会足球场地运营管理水平，定期开展群众满意度测评，努力改进足球场地服务供给，完善</w:t>
      </w:r>
      <w:r>
        <w:rPr>
          <w:rFonts w:ascii="仿宋" w:hAnsi="仿宋" w:eastAsia="仿宋" w:cs="仿宋"/>
          <w:sz w:val="32"/>
          <w:szCs w:val="32"/>
        </w:rPr>
        <w:t>统计</w:t>
      </w:r>
      <w:r>
        <w:rPr>
          <w:rFonts w:hint="eastAsia" w:ascii="仿宋" w:hAnsi="仿宋" w:eastAsia="仿宋" w:cs="仿宋"/>
          <w:sz w:val="32"/>
          <w:szCs w:val="32"/>
        </w:rPr>
        <w:t>制度</w:t>
      </w:r>
      <w:r>
        <w:rPr>
          <w:rFonts w:ascii="仿宋" w:hAnsi="仿宋" w:eastAsia="仿宋" w:cs="仿宋"/>
          <w:sz w:val="32"/>
          <w:szCs w:val="32"/>
        </w:rPr>
        <w:t>，</w:t>
      </w:r>
      <w:r>
        <w:rPr>
          <w:rFonts w:hint="eastAsia" w:ascii="仿宋" w:hAnsi="仿宋" w:eastAsia="仿宋" w:cs="仿宋"/>
          <w:sz w:val="32"/>
          <w:szCs w:val="32"/>
        </w:rPr>
        <w:t>对</w:t>
      </w:r>
      <w:r>
        <w:rPr>
          <w:rFonts w:ascii="仿宋" w:hAnsi="仿宋" w:eastAsia="仿宋" w:cs="仿宋"/>
          <w:sz w:val="32"/>
          <w:szCs w:val="32"/>
        </w:rPr>
        <w:t>社会足球场地实施</w:t>
      </w:r>
      <w:r>
        <w:rPr>
          <w:rFonts w:hint="eastAsia" w:ascii="仿宋" w:hAnsi="仿宋" w:eastAsia="仿宋" w:cs="仿宋"/>
          <w:sz w:val="32"/>
          <w:szCs w:val="32"/>
        </w:rPr>
        <w:t>动态统计</w:t>
      </w:r>
      <w:r>
        <w:rPr>
          <w:rFonts w:ascii="仿宋" w:hAnsi="仿宋" w:eastAsia="仿宋" w:cs="仿宋"/>
          <w:sz w:val="32"/>
          <w:szCs w:val="32"/>
        </w:rPr>
        <w:t>。</w:t>
      </w:r>
      <w:r>
        <w:rPr>
          <w:rFonts w:hint="eastAsia" w:ascii="仿宋" w:hAnsi="仿宋" w:eastAsia="仿宋" w:cs="仿宋"/>
          <w:sz w:val="32"/>
          <w:szCs w:val="32"/>
        </w:rPr>
        <w:t>各地足协应在教练员培养、青训、赛事举办等方面加大对运营管理机构的支持力度。</w:t>
      </w:r>
    </w:p>
    <w:p>
      <w:pPr>
        <w:autoSpaceDE w:val="0"/>
        <w:autoSpaceDN w:val="0"/>
        <w:adjustRightInd w:val="0"/>
        <w:spacing w:line="500" w:lineRule="exact"/>
        <w:ind w:firstLine="642" w:firstLineChars="200"/>
        <w:jc w:val="left"/>
        <w:rPr>
          <w:rFonts w:ascii="仿宋" w:hAnsi="仿宋" w:eastAsia="仿宋" w:cs="仿宋"/>
          <w:sz w:val="32"/>
          <w:szCs w:val="32"/>
        </w:rPr>
      </w:pPr>
      <w:r>
        <w:rPr>
          <w:rFonts w:hint="eastAsia" w:ascii="仿宋" w:hAnsi="仿宋" w:eastAsia="仿宋" w:cs="仿宋"/>
          <w:b/>
          <w:bCs/>
          <w:color w:val="000000" w:themeColor="text1"/>
          <w:kern w:val="0"/>
          <w:sz w:val="32"/>
          <w:szCs w:val="32"/>
          <w14:textFill>
            <w14:solidFill>
              <w14:schemeClr w14:val="tx1"/>
            </w14:solidFill>
          </w14:textFill>
        </w:rPr>
        <w:t>（十六）落实管理责任。</w:t>
      </w:r>
      <w:r>
        <w:rPr>
          <w:rFonts w:hint="eastAsia" w:ascii="仿宋" w:hAnsi="仿宋" w:eastAsia="仿宋" w:cs="仿宋"/>
          <w:bCs/>
          <w:color w:val="000000" w:themeColor="text1"/>
          <w:kern w:val="0"/>
          <w:sz w:val="32"/>
          <w:szCs w:val="32"/>
          <w14:textFill>
            <w14:solidFill>
              <w14:schemeClr w14:val="tx1"/>
            </w14:solidFill>
          </w14:textFill>
        </w:rPr>
        <w:t>社会足球场地运营管理机构应严格落实管理责任，加强对社会足球场地的管理，确保社会足球场地设施、设备正常运行和持续服务，自觉接受政府和群众的监督。</w:t>
      </w:r>
      <w:r>
        <w:rPr>
          <w:rFonts w:hint="eastAsia" w:ascii="仿宋" w:hAnsi="仿宋" w:eastAsia="仿宋" w:cs="仿宋"/>
          <w:sz w:val="32"/>
          <w:szCs w:val="32"/>
        </w:rPr>
        <w:t>购买公众责任保险，提醒参加运动的公众投保意外伤害保险。</w:t>
      </w:r>
    </w:p>
    <w:p>
      <w:pPr>
        <w:autoSpaceDE w:val="0"/>
        <w:autoSpaceDN w:val="0"/>
        <w:adjustRightInd w:val="0"/>
        <w:spacing w:line="500" w:lineRule="exact"/>
        <w:ind w:firstLine="642" w:firstLineChars="200"/>
        <w:jc w:val="left"/>
        <w:rPr>
          <w:rFonts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
          <w:sz w:val="32"/>
          <w:szCs w:val="32"/>
        </w:rPr>
        <w:t>（十七）加大政策支持。</w:t>
      </w:r>
      <w:r>
        <w:rPr>
          <w:rFonts w:hint="eastAsia" w:ascii="仿宋" w:hAnsi="仿宋" w:eastAsia="仿宋" w:cs="仿宋"/>
          <w:sz w:val="32"/>
          <w:szCs w:val="32"/>
        </w:rPr>
        <w:t>各地应将社会足球场地运行、维护经费纳入本级预算管理，加大财政支持。各地</w:t>
      </w:r>
      <w:r>
        <w:rPr>
          <w:rFonts w:hint="eastAsia" w:ascii="仿宋" w:hAnsi="仿宋" w:eastAsia="仿宋" w:cs="仿宋"/>
          <w:color w:val="000000" w:themeColor="text1"/>
          <w:kern w:val="0"/>
          <w:sz w:val="32"/>
          <w:szCs w:val="32"/>
          <w14:textFill>
            <w14:solidFill>
              <w14:schemeClr w14:val="tx1"/>
            </w14:solidFill>
          </w14:textFill>
        </w:rPr>
        <w:t>应在本级体育彩票公益金中对社会足球场地运行、维修、举办赛事活动等项目予以补助。增加政府购买公共服务预算支出，对</w:t>
      </w:r>
      <w:r>
        <w:rPr>
          <w:rFonts w:hint="eastAsia" w:ascii="仿宋" w:hAnsi="仿宋" w:eastAsia="仿宋" w:cs="仿宋"/>
          <w:bCs/>
          <w:color w:val="000000" w:themeColor="text1"/>
          <w:kern w:val="0"/>
          <w:sz w:val="32"/>
          <w:szCs w:val="32"/>
          <w14:textFill>
            <w14:solidFill>
              <w14:schemeClr w14:val="tx1"/>
            </w14:solidFill>
          </w14:textFill>
        </w:rPr>
        <w:t>社会力量提供的免费或低收费开放、青少年培训、赛事承办等予以经费支持。各地通过租赁、合作等方式向社会力量提供用地建设足球场地的，应适当降低社会力量用地成本，支持社会力量提供质优价廉的公共体育服务。社会足球场地自用的房产和土地，可按规定享受有关房产税和城镇土地使用税优惠。鼓励通过参与市场化交易等方式，确定社会足球场地用电价格。</w:t>
      </w:r>
    </w:p>
    <w:p>
      <w:pPr>
        <w:autoSpaceDE w:val="0"/>
        <w:autoSpaceDN w:val="0"/>
        <w:adjustRightInd w:val="0"/>
        <w:ind w:firstLine="640" w:firstLineChars="200"/>
        <w:jc w:val="left"/>
        <w:rPr>
          <w:rFonts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本指导意见有效期自颁布之日起五年内有效。</w:t>
      </w:r>
    </w:p>
    <w:p>
      <w:pPr>
        <w:autoSpaceDE w:val="0"/>
        <w:autoSpaceDN w:val="0"/>
        <w:adjustRightInd w:val="0"/>
        <w:spacing w:line="500" w:lineRule="exact"/>
        <w:jc w:val="center"/>
        <w:rPr>
          <w:rFonts w:ascii="仿宋" w:hAnsi="仿宋" w:eastAsia="仿宋" w:cs="仿宋"/>
          <w:bCs/>
          <w:color w:val="000000" w:themeColor="text1"/>
          <w:kern w:val="0"/>
          <w:sz w:val="32"/>
          <w:szCs w:val="32"/>
          <w14:textFill>
            <w14:solidFill>
              <w14:schemeClr w14:val="tx1"/>
            </w14:solidFill>
          </w14:textFill>
        </w:rPr>
      </w:pPr>
    </w:p>
    <w:p>
      <w:pPr>
        <w:autoSpaceDE w:val="0"/>
        <w:autoSpaceDN w:val="0"/>
        <w:adjustRightInd w:val="0"/>
        <w:spacing w:line="500" w:lineRule="exact"/>
        <w:jc w:val="center"/>
        <w:rPr>
          <w:rFonts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国家体育总局          国家发展和改革委员会</w:t>
      </w:r>
    </w:p>
    <w:p>
      <w:pPr>
        <w:autoSpaceDE w:val="0"/>
        <w:autoSpaceDN w:val="0"/>
        <w:adjustRightInd w:val="0"/>
        <w:spacing w:line="500" w:lineRule="exact"/>
        <w:ind w:firstLine="1120" w:firstLineChars="350"/>
        <w:jc w:val="left"/>
        <w:rPr>
          <w:rFonts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 xml:space="preserve">                       2020年10月19日</w:t>
      </w:r>
    </w:p>
    <w:sectPr>
      <w:footerReference r:id="rId3" w:type="default"/>
      <w:pgSz w:w="11906" w:h="16838"/>
      <w:pgMar w:top="1440" w:right="1800" w:bottom="1440" w:left="1800"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952346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743"/>
    <w:rsid w:val="0001430C"/>
    <w:rsid w:val="0001574C"/>
    <w:rsid w:val="000174EF"/>
    <w:rsid w:val="000178CC"/>
    <w:rsid w:val="0002245E"/>
    <w:rsid w:val="00025207"/>
    <w:rsid w:val="000373BD"/>
    <w:rsid w:val="000436E0"/>
    <w:rsid w:val="000452C4"/>
    <w:rsid w:val="00053658"/>
    <w:rsid w:val="00054D91"/>
    <w:rsid w:val="0007050D"/>
    <w:rsid w:val="00071243"/>
    <w:rsid w:val="0007224D"/>
    <w:rsid w:val="00080813"/>
    <w:rsid w:val="000810D1"/>
    <w:rsid w:val="000A01C7"/>
    <w:rsid w:val="000A01E6"/>
    <w:rsid w:val="000A4307"/>
    <w:rsid w:val="000E4F54"/>
    <w:rsid w:val="000E6DEE"/>
    <w:rsid w:val="000F072F"/>
    <w:rsid w:val="00135A6A"/>
    <w:rsid w:val="0014261A"/>
    <w:rsid w:val="00152A91"/>
    <w:rsid w:val="00170B16"/>
    <w:rsid w:val="00171AE1"/>
    <w:rsid w:val="001749CF"/>
    <w:rsid w:val="0018016C"/>
    <w:rsid w:val="00184F14"/>
    <w:rsid w:val="001A454F"/>
    <w:rsid w:val="001A77FE"/>
    <w:rsid w:val="001B753F"/>
    <w:rsid w:val="001C0150"/>
    <w:rsid w:val="001C195D"/>
    <w:rsid w:val="001C7BE8"/>
    <w:rsid w:val="001D6DA4"/>
    <w:rsid w:val="001E7802"/>
    <w:rsid w:val="001F364A"/>
    <w:rsid w:val="00200629"/>
    <w:rsid w:val="002137DE"/>
    <w:rsid w:val="00221FDD"/>
    <w:rsid w:val="00233D8C"/>
    <w:rsid w:val="00236E1B"/>
    <w:rsid w:val="002439D5"/>
    <w:rsid w:val="00254C78"/>
    <w:rsid w:val="00257C7F"/>
    <w:rsid w:val="00262C8A"/>
    <w:rsid w:val="00276016"/>
    <w:rsid w:val="0027690B"/>
    <w:rsid w:val="002A0165"/>
    <w:rsid w:val="002A20B1"/>
    <w:rsid w:val="002B0D98"/>
    <w:rsid w:val="002B4457"/>
    <w:rsid w:val="002B4B31"/>
    <w:rsid w:val="002B72B6"/>
    <w:rsid w:val="002C70C9"/>
    <w:rsid w:val="002D32FE"/>
    <w:rsid w:val="002E2DD2"/>
    <w:rsid w:val="002F0517"/>
    <w:rsid w:val="00307ADD"/>
    <w:rsid w:val="003230A2"/>
    <w:rsid w:val="003414E7"/>
    <w:rsid w:val="003438A5"/>
    <w:rsid w:val="003526E4"/>
    <w:rsid w:val="003616DE"/>
    <w:rsid w:val="00381CCF"/>
    <w:rsid w:val="00392EA3"/>
    <w:rsid w:val="00396E52"/>
    <w:rsid w:val="003A063D"/>
    <w:rsid w:val="003A3C37"/>
    <w:rsid w:val="003B6B17"/>
    <w:rsid w:val="003E6D64"/>
    <w:rsid w:val="003F02A2"/>
    <w:rsid w:val="00406F66"/>
    <w:rsid w:val="00410D9C"/>
    <w:rsid w:val="00423933"/>
    <w:rsid w:val="00425C1E"/>
    <w:rsid w:val="00442476"/>
    <w:rsid w:val="00452E5C"/>
    <w:rsid w:val="00452FE4"/>
    <w:rsid w:val="004559AE"/>
    <w:rsid w:val="00467BA4"/>
    <w:rsid w:val="00471E3D"/>
    <w:rsid w:val="00472114"/>
    <w:rsid w:val="004950DF"/>
    <w:rsid w:val="004A076E"/>
    <w:rsid w:val="004B7310"/>
    <w:rsid w:val="004D4100"/>
    <w:rsid w:val="004D4656"/>
    <w:rsid w:val="004E1520"/>
    <w:rsid w:val="004E2DC0"/>
    <w:rsid w:val="004E5312"/>
    <w:rsid w:val="0052519C"/>
    <w:rsid w:val="00525B2A"/>
    <w:rsid w:val="00530B23"/>
    <w:rsid w:val="00591B29"/>
    <w:rsid w:val="00594D91"/>
    <w:rsid w:val="005B690D"/>
    <w:rsid w:val="005C050A"/>
    <w:rsid w:val="005C0B17"/>
    <w:rsid w:val="005F057A"/>
    <w:rsid w:val="005F3157"/>
    <w:rsid w:val="00600D17"/>
    <w:rsid w:val="006014CC"/>
    <w:rsid w:val="00614E16"/>
    <w:rsid w:val="00615400"/>
    <w:rsid w:val="006248A7"/>
    <w:rsid w:val="0062774A"/>
    <w:rsid w:val="00642688"/>
    <w:rsid w:val="00647F21"/>
    <w:rsid w:val="006521D7"/>
    <w:rsid w:val="00654854"/>
    <w:rsid w:val="00665146"/>
    <w:rsid w:val="00667FB6"/>
    <w:rsid w:val="00680C93"/>
    <w:rsid w:val="006907F3"/>
    <w:rsid w:val="00696EAD"/>
    <w:rsid w:val="00697BFC"/>
    <w:rsid w:val="006A0282"/>
    <w:rsid w:val="006A6644"/>
    <w:rsid w:val="006A7895"/>
    <w:rsid w:val="006B1769"/>
    <w:rsid w:val="006B3415"/>
    <w:rsid w:val="006C22BC"/>
    <w:rsid w:val="006C726A"/>
    <w:rsid w:val="006D7DB9"/>
    <w:rsid w:val="006E22CD"/>
    <w:rsid w:val="006E6E73"/>
    <w:rsid w:val="006E7560"/>
    <w:rsid w:val="006F67BB"/>
    <w:rsid w:val="006F6F16"/>
    <w:rsid w:val="0070003D"/>
    <w:rsid w:val="007020FA"/>
    <w:rsid w:val="00703C74"/>
    <w:rsid w:val="00704428"/>
    <w:rsid w:val="00712247"/>
    <w:rsid w:val="00722C70"/>
    <w:rsid w:val="00733743"/>
    <w:rsid w:val="00741FA0"/>
    <w:rsid w:val="00753349"/>
    <w:rsid w:val="00764CBF"/>
    <w:rsid w:val="00786204"/>
    <w:rsid w:val="007B2CD0"/>
    <w:rsid w:val="007B34B7"/>
    <w:rsid w:val="007B7F57"/>
    <w:rsid w:val="007C5695"/>
    <w:rsid w:val="007D38C7"/>
    <w:rsid w:val="007D467A"/>
    <w:rsid w:val="007E1506"/>
    <w:rsid w:val="007E7985"/>
    <w:rsid w:val="00813210"/>
    <w:rsid w:val="00821E31"/>
    <w:rsid w:val="008317FE"/>
    <w:rsid w:val="0083649F"/>
    <w:rsid w:val="0087562D"/>
    <w:rsid w:val="0087569E"/>
    <w:rsid w:val="00882751"/>
    <w:rsid w:val="008A0850"/>
    <w:rsid w:val="008A0D7B"/>
    <w:rsid w:val="008A0F34"/>
    <w:rsid w:val="008B7A02"/>
    <w:rsid w:val="008C243B"/>
    <w:rsid w:val="008D1B1E"/>
    <w:rsid w:val="008D4362"/>
    <w:rsid w:val="008D6385"/>
    <w:rsid w:val="008E6BA6"/>
    <w:rsid w:val="008F46F0"/>
    <w:rsid w:val="008F75DA"/>
    <w:rsid w:val="009113B1"/>
    <w:rsid w:val="0092295B"/>
    <w:rsid w:val="00926422"/>
    <w:rsid w:val="009474AB"/>
    <w:rsid w:val="009506B0"/>
    <w:rsid w:val="009864CB"/>
    <w:rsid w:val="009A2DF3"/>
    <w:rsid w:val="009A7277"/>
    <w:rsid w:val="009B7ED4"/>
    <w:rsid w:val="009D6E44"/>
    <w:rsid w:val="009E27AD"/>
    <w:rsid w:val="009E4E22"/>
    <w:rsid w:val="009F057C"/>
    <w:rsid w:val="009F4810"/>
    <w:rsid w:val="00A112F6"/>
    <w:rsid w:val="00A20F3A"/>
    <w:rsid w:val="00A278F7"/>
    <w:rsid w:val="00A50EC2"/>
    <w:rsid w:val="00A74E9D"/>
    <w:rsid w:val="00A7517C"/>
    <w:rsid w:val="00A95603"/>
    <w:rsid w:val="00AA45F1"/>
    <w:rsid w:val="00AB3D65"/>
    <w:rsid w:val="00AD1AF4"/>
    <w:rsid w:val="00AE4B80"/>
    <w:rsid w:val="00B03F57"/>
    <w:rsid w:val="00B05D4D"/>
    <w:rsid w:val="00B10B36"/>
    <w:rsid w:val="00B14971"/>
    <w:rsid w:val="00B25CE3"/>
    <w:rsid w:val="00B36D8F"/>
    <w:rsid w:val="00B43F7E"/>
    <w:rsid w:val="00B475F4"/>
    <w:rsid w:val="00B519D8"/>
    <w:rsid w:val="00B54F19"/>
    <w:rsid w:val="00B60637"/>
    <w:rsid w:val="00B64DFF"/>
    <w:rsid w:val="00B761A6"/>
    <w:rsid w:val="00B90583"/>
    <w:rsid w:val="00BA1833"/>
    <w:rsid w:val="00BA32C0"/>
    <w:rsid w:val="00BA787B"/>
    <w:rsid w:val="00BC24EF"/>
    <w:rsid w:val="00BC775D"/>
    <w:rsid w:val="00BD0771"/>
    <w:rsid w:val="00BE39D4"/>
    <w:rsid w:val="00BF45B3"/>
    <w:rsid w:val="00C07B86"/>
    <w:rsid w:val="00C11ACC"/>
    <w:rsid w:val="00C24801"/>
    <w:rsid w:val="00C37A49"/>
    <w:rsid w:val="00C40ED6"/>
    <w:rsid w:val="00C60961"/>
    <w:rsid w:val="00C667A7"/>
    <w:rsid w:val="00C73DD4"/>
    <w:rsid w:val="00C81AE8"/>
    <w:rsid w:val="00CA40A8"/>
    <w:rsid w:val="00CA7D47"/>
    <w:rsid w:val="00CB1B82"/>
    <w:rsid w:val="00CC5093"/>
    <w:rsid w:val="00CC740F"/>
    <w:rsid w:val="00CD1B81"/>
    <w:rsid w:val="00CD2A22"/>
    <w:rsid w:val="00CD39B4"/>
    <w:rsid w:val="00CE0907"/>
    <w:rsid w:val="00CE4B37"/>
    <w:rsid w:val="00CE5139"/>
    <w:rsid w:val="00CE580F"/>
    <w:rsid w:val="00D04F54"/>
    <w:rsid w:val="00D17577"/>
    <w:rsid w:val="00D22397"/>
    <w:rsid w:val="00D379DA"/>
    <w:rsid w:val="00D4094D"/>
    <w:rsid w:val="00D46F1F"/>
    <w:rsid w:val="00D47754"/>
    <w:rsid w:val="00D5219E"/>
    <w:rsid w:val="00D62442"/>
    <w:rsid w:val="00D650A4"/>
    <w:rsid w:val="00DB4E45"/>
    <w:rsid w:val="00DB5C8E"/>
    <w:rsid w:val="00DC47DA"/>
    <w:rsid w:val="00DC75A2"/>
    <w:rsid w:val="00E01167"/>
    <w:rsid w:val="00E064E3"/>
    <w:rsid w:val="00E30EF7"/>
    <w:rsid w:val="00E44D30"/>
    <w:rsid w:val="00E45F49"/>
    <w:rsid w:val="00E47A15"/>
    <w:rsid w:val="00E5553D"/>
    <w:rsid w:val="00E7043F"/>
    <w:rsid w:val="00E767E8"/>
    <w:rsid w:val="00E831D5"/>
    <w:rsid w:val="00EA1464"/>
    <w:rsid w:val="00EA359A"/>
    <w:rsid w:val="00EA6619"/>
    <w:rsid w:val="00EC09DF"/>
    <w:rsid w:val="00EC45D1"/>
    <w:rsid w:val="00EE02E9"/>
    <w:rsid w:val="00EE0587"/>
    <w:rsid w:val="00F05505"/>
    <w:rsid w:val="00F26233"/>
    <w:rsid w:val="00F37300"/>
    <w:rsid w:val="00F37E5D"/>
    <w:rsid w:val="00F46BA1"/>
    <w:rsid w:val="00F636BF"/>
    <w:rsid w:val="00F66D31"/>
    <w:rsid w:val="00F862A0"/>
    <w:rsid w:val="00F8789E"/>
    <w:rsid w:val="00F907D1"/>
    <w:rsid w:val="00FA0514"/>
    <w:rsid w:val="00FA36AD"/>
    <w:rsid w:val="00FB106C"/>
    <w:rsid w:val="00FB5089"/>
    <w:rsid w:val="00FC072D"/>
    <w:rsid w:val="00FC6CF1"/>
    <w:rsid w:val="00FE16F8"/>
    <w:rsid w:val="00FF4A16"/>
    <w:rsid w:val="00FF5346"/>
    <w:rsid w:val="04714C56"/>
    <w:rsid w:val="37FD5154"/>
    <w:rsid w:val="42F87D39"/>
    <w:rsid w:val="4D1B0524"/>
    <w:rsid w:val="6BFFFB8A"/>
    <w:rsid w:val="CF6B3386"/>
    <w:rsid w:val="F6FE89AC"/>
    <w:rsid w:val="FECFA14A"/>
    <w:rsid w:val="FF89D0BB"/>
    <w:rsid w:val="FFB9D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Times New Roman" w:hAnsi="Times New Roman" w:cs="Times New Roman"/>
      <w:kern w:val="0"/>
      <w:sz w:val="24"/>
      <w:szCs w:val="24"/>
    </w:rPr>
  </w:style>
  <w:style w:type="paragraph" w:styleId="7">
    <w:name w:val="annotation subject"/>
    <w:basedOn w:val="2"/>
    <w:next w:val="2"/>
    <w:link w:val="15"/>
    <w:semiHidden/>
    <w:unhideWhenUsed/>
    <w:qFormat/>
    <w:uiPriority w:val="99"/>
    <w:rPr>
      <w:b/>
      <w:bCs/>
    </w:rPr>
  </w:style>
  <w:style w:type="character" w:styleId="10">
    <w:name w:val="Strong"/>
    <w:basedOn w:val="9"/>
    <w:qFormat/>
    <w:uiPriority w:val="22"/>
    <w:rPr>
      <w:b/>
      <w:bCs/>
    </w:rPr>
  </w:style>
  <w:style w:type="character" w:styleId="11">
    <w:name w:val="annotation reference"/>
    <w:basedOn w:val="9"/>
    <w:semiHidden/>
    <w:unhideWhenUsed/>
    <w:qFormat/>
    <w:uiPriority w:val="99"/>
    <w:rPr>
      <w:sz w:val="21"/>
      <w:szCs w:val="21"/>
    </w:r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character" w:customStyle="1" w:styleId="14">
    <w:name w:val="批注文字 Char"/>
    <w:basedOn w:val="9"/>
    <w:link w:val="2"/>
    <w:semiHidden/>
    <w:qFormat/>
    <w:uiPriority w:val="99"/>
  </w:style>
  <w:style w:type="character" w:customStyle="1" w:styleId="15">
    <w:name w:val="批注主题 Char"/>
    <w:basedOn w:val="14"/>
    <w:link w:val="7"/>
    <w:semiHidden/>
    <w:qFormat/>
    <w:uiPriority w:val="99"/>
    <w:rPr>
      <w:b/>
      <w:bCs/>
    </w:rPr>
  </w:style>
  <w:style w:type="paragraph" w:customStyle="1" w:styleId="16">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7">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538</Words>
  <Characters>3069</Characters>
  <Lines>25</Lines>
  <Paragraphs>7</Paragraphs>
  <TotalTime>2080</TotalTime>
  <ScaleCrop>false</ScaleCrop>
  <LinksUpToDate>false</LinksUpToDate>
  <CharactersWithSpaces>3600</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2020-11-10T15:43:00Z</dcterms:created>
  <dc:creator>Lenovo</dc:creator>
  <cp:lastModifiedBy>shiyichao</cp:lastModifiedBy>
  <cp:lastPrinted>2021-01-14T01:25:00Z</cp:lastPrinted>
  <dcterms:modified xsi:type="dcterms:W3CDTF">2021-02-22T15:42:18Z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